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numPr>
          <w:ilvl w:val="0"/>
          <w:numId w:val="0"/>
        </w:numPr>
        <w:ind w:leftChars="0"/>
        <w:rPr>
          <w:rFonts w:hint="eastAsia"/>
          <w:b/>
          <w:bCs w:val="0"/>
          <w:sz w:val="24"/>
          <w:szCs w:val="24"/>
          <w:lang w:val="en-US" w:eastAsia="zh-CN"/>
        </w:rPr>
      </w:pPr>
      <w:r>
        <w:rPr>
          <w:rFonts w:hint="eastAsia"/>
          <w:b/>
          <w:bCs w:val="0"/>
          <w:sz w:val="24"/>
          <w:szCs w:val="24"/>
          <w:lang w:val="en-US" w:eastAsia="zh-CN"/>
        </w:rPr>
        <w:t>各收单机构、各服务商：</w:t>
      </w:r>
    </w:p>
    <w:p>
      <w:pPr>
        <w:pStyle w:val="8"/>
        <w:numPr>
          <w:ilvl w:val="0"/>
          <w:numId w:val="0"/>
        </w:numPr>
        <w:ind w:leftChars="0"/>
        <w:rPr>
          <w:rFonts w:hint="eastAsia" w:eastAsiaTheme="minorEastAsia"/>
          <w:b/>
          <w:sz w:val="24"/>
          <w:szCs w:val="24"/>
          <w:lang w:eastAsia="zh-CN"/>
        </w:rPr>
      </w:pPr>
    </w:p>
    <w:p>
      <w:pPr>
        <w:pStyle w:val="8"/>
        <w:numPr>
          <w:ilvl w:val="0"/>
          <w:numId w:val="0"/>
        </w:numPr>
        <w:ind w:leftChars="0" w:firstLine="480" w:firstLineChars="200"/>
        <w:rPr>
          <w:rFonts w:hint="eastAsia"/>
          <w:b w:val="0"/>
          <w:bCs/>
          <w:sz w:val="24"/>
          <w:szCs w:val="24"/>
          <w:lang w:val="en-US" w:eastAsia="zh-CN"/>
        </w:rPr>
      </w:pPr>
      <w:r>
        <w:rPr>
          <w:rFonts w:hint="eastAsia"/>
          <w:b w:val="0"/>
          <w:bCs/>
          <w:sz w:val="24"/>
          <w:szCs w:val="24"/>
          <w:lang w:val="en-US" w:eastAsia="zh-CN"/>
        </w:rPr>
        <w:t>为了提升聚合支付服务商参与支付业务的合规性和积极性，中国银联牵头制定了服务商机构标识码的技术规范，鼓励服务商在上送交易报文中增加由中国银联统一分配的服务商机构标识码（简称PID）。</w:t>
      </w:r>
    </w:p>
    <w:p>
      <w:pPr>
        <w:pStyle w:val="8"/>
        <w:numPr>
          <w:ilvl w:val="0"/>
          <w:numId w:val="0"/>
        </w:numPr>
        <w:ind w:leftChars="0"/>
        <w:rPr>
          <w:rFonts w:hint="eastAsia"/>
          <w:b w:val="0"/>
          <w:bCs/>
          <w:sz w:val="24"/>
          <w:szCs w:val="24"/>
          <w:lang w:val="en-US" w:eastAsia="zh-CN"/>
        </w:rPr>
      </w:pPr>
    </w:p>
    <w:p>
      <w:pPr>
        <w:pStyle w:val="8"/>
        <w:numPr>
          <w:ilvl w:val="0"/>
          <w:numId w:val="1"/>
        </w:numPr>
        <w:ind w:firstLineChars="0"/>
        <w:rPr>
          <w:b/>
          <w:sz w:val="24"/>
          <w:szCs w:val="24"/>
        </w:rPr>
      </w:pPr>
      <w:r>
        <w:rPr>
          <w:rFonts w:hint="eastAsia"/>
          <w:b/>
          <w:sz w:val="24"/>
          <w:szCs w:val="24"/>
          <w:lang w:val="en-US" w:eastAsia="zh-CN"/>
        </w:rPr>
        <w:t>PID 改造的步骤</w:t>
      </w:r>
    </w:p>
    <w:p>
      <w:pPr>
        <w:pStyle w:val="8"/>
        <w:numPr>
          <w:ilvl w:val="0"/>
          <w:numId w:val="0"/>
        </w:numPr>
        <w:ind w:leftChars="0"/>
        <w:rPr>
          <w:b/>
          <w:sz w:val="24"/>
          <w:szCs w:val="24"/>
        </w:rPr>
      </w:pPr>
    </w:p>
    <w:p>
      <w:pPr>
        <w:pStyle w:val="8"/>
        <w:numPr>
          <w:ilvl w:val="0"/>
          <w:numId w:val="2"/>
        </w:numPr>
        <w:ind w:leftChars="0"/>
        <w:rPr>
          <w:b w:val="0"/>
          <w:bCs/>
          <w:sz w:val="24"/>
          <w:szCs w:val="24"/>
        </w:rPr>
      </w:pPr>
      <w:r>
        <w:rPr>
          <w:rFonts w:hint="eastAsia"/>
          <w:b w:val="0"/>
          <w:bCs/>
          <w:sz w:val="24"/>
          <w:szCs w:val="24"/>
          <w:lang w:eastAsia="zh-CN"/>
        </w:rPr>
        <w:t>服务商注册。</w:t>
      </w:r>
    </w:p>
    <w:p>
      <w:pPr>
        <w:pStyle w:val="8"/>
        <w:numPr>
          <w:ilvl w:val="0"/>
          <w:numId w:val="0"/>
        </w:numPr>
        <w:rPr>
          <w:b w:val="0"/>
          <w:bCs/>
          <w:sz w:val="24"/>
          <w:szCs w:val="24"/>
        </w:rPr>
      </w:pPr>
      <w:r>
        <w:rPr>
          <w:rFonts w:hint="eastAsia"/>
          <w:b w:val="0"/>
          <w:bCs/>
          <w:sz w:val="24"/>
          <w:szCs w:val="24"/>
        </w:rPr>
        <w:t>原则上一个</w:t>
      </w:r>
      <w:r>
        <w:rPr>
          <w:rFonts w:hint="eastAsia"/>
          <w:b w:val="0"/>
          <w:bCs/>
          <w:sz w:val="24"/>
          <w:szCs w:val="24"/>
          <w:lang w:eastAsia="zh-CN"/>
        </w:rPr>
        <w:t>服务商</w:t>
      </w:r>
      <w:r>
        <w:rPr>
          <w:rFonts w:hint="eastAsia"/>
          <w:b w:val="0"/>
          <w:bCs/>
          <w:sz w:val="24"/>
          <w:szCs w:val="24"/>
        </w:rPr>
        <w:t>分配一个</w:t>
      </w:r>
      <w:r>
        <w:rPr>
          <w:rFonts w:hint="eastAsia"/>
          <w:b w:val="0"/>
          <w:bCs/>
          <w:sz w:val="24"/>
          <w:szCs w:val="24"/>
          <w:lang w:val="en-US" w:eastAsia="zh-CN"/>
        </w:rPr>
        <w:t>PID：</w:t>
      </w:r>
    </w:p>
    <w:p>
      <w:pPr>
        <w:pStyle w:val="8"/>
        <w:numPr>
          <w:ilvl w:val="0"/>
          <w:numId w:val="3"/>
        </w:numPr>
        <w:ind w:left="420" w:leftChars="0" w:hanging="420" w:firstLineChars="0"/>
        <w:rPr>
          <w:b w:val="0"/>
          <w:bCs/>
          <w:sz w:val="24"/>
          <w:szCs w:val="24"/>
        </w:rPr>
      </w:pPr>
      <w:r>
        <w:rPr>
          <w:rFonts w:hint="eastAsia"/>
          <w:b w:val="0"/>
          <w:bCs/>
          <w:sz w:val="24"/>
          <w:szCs w:val="24"/>
          <w:lang w:eastAsia="zh-CN"/>
        </w:rPr>
        <w:t>对于尚未注册服务商，请登录</w:t>
      </w:r>
      <w:r>
        <w:rPr>
          <w:rFonts w:hint="default"/>
          <w:b w:val="0"/>
          <w:bCs/>
          <w:sz w:val="24"/>
          <w:szCs w:val="24"/>
          <w:lang w:val="en-US" w:eastAsia="zh-CN"/>
        </w:rPr>
        <w:t>https://partner.95516.com</w:t>
      </w:r>
      <w:r>
        <w:rPr>
          <w:rFonts w:hint="eastAsia"/>
          <w:b w:val="0"/>
          <w:bCs/>
          <w:sz w:val="24"/>
          <w:szCs w:val="24"/>
          <w:lang w:val="en-US" w:eastAsia="zh-CN"/>
        </w:rPr>
        <w:t>按步骤获取PID。</w:t>
      </w:r>
    </w:p>
    <w:p>
      <w:pPr>
        <w:pStyle w:val="8"/>
        <w:numPr>
          <w:ilvl w:val="0"/>
          <w:numId w:val="3"/>
        </w:numPr>
        <w:ind w:left="420" w:leftChars="0" w:hanging="420" w:firstLineChars="0"/>
        <w:rPr>
          <w:b w:val="0"/>
          <w:bCs/>
          <w:sz w:val="24"/>
          <w:szCs w:val="24"/>
        </w:rPr>
      </w:pPr>
      <w:r>
        <w:rPr>
          <w:rFonts w:hint="eastAsia"/>
          <w:b w:val="0"/>
          <w:bCs/>
          <w:sz w:val="24"/>
          <w:szCs w:val="24"/>
          <w:lang w:eastAsia="zh-CN"/>
        </w:rPr>
        <w:t>对于已经注册服务商，请联系中国银联</w:t>
      </w:r>
      <w:r>
        <w:rPr>
          <w:rFonts w:hint="eastAsia"/>
          <w:b w:val="0"/>
          <w:bCs/>
          <w:sz w:val="24"/>
          <w:szCs w:val="24"/>
          <w:lang w:val="en-US" w:eastAsia="zh-CN"/>
        </w:rPr>
        <w:t>PID技术支持</w:t>
      </w:r>
      <w:r>
        <w:rPr>
          <w:rFonts w:hint="eastAsia"/>
          <w:b w:val="0"/>
          <w:bCs/>
          <w:sz w:val="24"/>
          <w:szCs w:val="24"/>
          <w:lang w:eastAsia="zh-CN"/>
        </w:rPr>
        <w:t>人员直接发放</w:t>
      </w:r>
      <w:r>
        <w:rPr>
          <w:rFonts w:hint="eastAsia"/>
          <w:b w:val="0"/>
          <w:bCs/>
          <w:sz w:val="24"/>
          <w:szCs w:val="24"/>
          <w:lang w:val="en-US" w:eastAsia="zh-CN"/>
        </w:rPr>
        <w:t>PID。</w:t>
      </w:r>
    </w:p>
    <w:p>
      <w:pPr>
        <w:pStyle w:val="8"/>
        <w:numPr>
          <w:ilvl w:val="0"/>
          <w:numId w:val="3"/>
        </w:numPr>
        <w:ind w:left="420" w:leftChars="0" w:hanging="420" w:firstLineChars="0"/>
        <w:rPr>
          <w:b w:val="0"/>
          <w:bCs/>
          <w:sz w:val="24"/>
          <w:szCs w:val="24"/>
        </w:rPr>
      </w:pPr>
      <w:r>
        <w:rPr>
          <w:rFonts w:hint="eastAsia"/>
          <w:b w:val="0"/>
          <w:bCs/>
          <w:sz w:val="24"/>
          <w:szCs w:val="24"/>
        </w:rPr>
        <w:t>对于</w:t>
      </w:r>
      <w:r>
        <w:rPr>
          <w:rFonts w:hint="eastAsia"/>
          <w:b w:val="0"/>
          <w:bCs/>
          <w:sz w:val="24"/>
          <w:szCs w:val="24"/>
          <w:lang w:eastAsia="zh-CN"/>
        </w:rPr>
        <w:t>需要</w:t>
      </w:r>
      <w:r>
        <w:rPr>
          <w:rFonts w:hint="eastAsia"/>
          <w:b w:val="0"/>
          <w:bCs/>
          <w:sz w:val="24"/>
          <w:szCs w:val="24"/>
        </w:rPr>
        <w:t>退出的服务商</w:t>
      </w:r>
      <w:r>
        <w:rPr>
          <w:rFonts w:hint="eastAsia"/>
          <w:b w:val="0"/>
          <w:bCs/>
          <w:sz w:val="24"/>
          <w:szCs w:val="24"/>
          <w:lang w:eastAsia="zh-CN"/>
        </w:rPr>
        <w:t>，请登录</w:t>
      </w:r>
      <w:r>
        <w:rPr>
          <w:rFonts w:hint="default"/>
          <w:b w:val="0"/>
          <w:bCs/>
          <w:sz w:val="24"/>
          <w:szCs w:val="24"/>
          <w:lang w:val="en-US" w:eastAsia="zh-CN"/>
        </w:rPr>
        <w:t>https://partner.95516.com</w:t>
      </w:r>
      <w:r>
        <w:rPr>
          <w:rFonts w:hint="eastAsia"/>
          <w:b w:val="0"/>
          <w:bCs/>
          <w:sz w:val="24"/>
          <w:szCs w:val="24"/>
          <w:lang w:val="en-US" w:eastAsia="zh-CN"/>
        </w:rPr>
        <w:t>做好注销工作。</w:t>
      </w:r>
    </w:p>
    <w:p>
      <w:pPr>
        <w:pStyle w:val="8"/>
        <w:numPr>
          <w:ilvl w:val="0"/>
          <w:numId w:val="0"/>
        </w:numPr>
        <w:ind w:firstLine="480" w:firstLineChars="200"/>
        <w:rPr>
          <w:rFonts w:hint="eastAsia"/>
          <w:b w:val="0"/>
          <w:bCs/>
          <w:sz w:val="24"/>
          <w:szCs w:val="24"/>
          <w:lang w:eastAsia="zh-CN"/>
        </w:rPr>
      </w:pPr>
    </w:p>
    <w:p>
      <w:pPr>
        <w:pStyle w:val="8"/>
        <w:numPr>
          <w:ilvl w:val="0"/>
          <w:numId w:val="0"/>
        </w:numPr>
        <w:ind w:firstLine="480" w:firstLineChars="200"/>
        <w:rPr>
          <w:rFonts w:hint="eastAsia"/>
          <w:b w:val="0"/>
          <w:bCs/>
          <w:sz w:val="24"/>
          <w:szCs w:val="24"/>
          <w:lang w:val="en-US" w:eastAsia="zh-CN"/>
        </w:rPr>
      </w:pPr>
      <w:r>
        <w:rPr>
          <w:rFonts w:hint="eastAsia"/>
          <w:b w:val="0"/>
          <w:bCs/>
          <w:sz w:val="24"/>
          <w:szCs w:val="24"/>
          <w:lang w:val="en-US" w:eastAsia="zh-CN"/>
        </w:rPr>
        <w:t>2、完成接口</w:t>
      </w:r>
      <w:bookmarkStart w:id="0" w:name="_GoBack"/>
      <w:bookmarkEnd w:id="0"/>
      <w:r>
        <w:rPr>
          <w:rFonts w:hint="eastAsia"/>
          <w:b w:val="0"/>
          <w:bCs/>
          <w:sz w:val="24"/>
          <w:szCs w:val="24"/>
          <w:lang w:val="en-US" w:eastAsia="zh-CN"/>
        </w:rPr>
        <w:t>改造</w:t>
      </w:r>
    </w:p>
    <w:p>
      <w:pPr>
        <w:pStyle w:val="8"/>
        <w:numPr>
          <w:ilvl w:val="0"/>
          <w:numId w:val="0"/>
        </w:numPr>
        <w:ind w:firstLine="720" w:firstLineChars="300"/>
        <w:rPr>
          <w:rFonts w:hint="eastAsia"/>
          <w:b w:val="0"/>
          <w:bCs/>
          <w:sz w:val="24"/>
          <w:szCs w:val="24"/>
          <w:lang w:eastAsia="zh-CN"/>
        </w:rPr>
      </w:pPr>
      <w:r>
        <w:rPr>
          <w:rFonts w:hint="eastAsia"/>
          <w:b w:val="0"/>
          <w:bCs/>
          <w:sz w:val="24"/>
          <w:szCs w:val="24"/>
          <w:lang w:eastAsia="zh-CN"/>
        </w:rPr>
        <w:t>首先是按照下文二选择接入模式，然后是按照下文三完成技术改造</w:t>
      </w:r>
    </w:p>
    <w:p>
      <w:pPr>
        <w:pStyle w:val="8"/>
        <w:numPr>
          <w:ilvl w:val="0"/>
          <w:numId w:val="0"/>
        </w:numPr>
        <w:ind w:firstLine="720" w:firstLineChars="300"/>
        <w:rPr>
          <w:rFonts w:hint="eastAsia"/>
          <w:b w:val="0"/>
          <w:bCs/>
          <w:sz w:val="24"/>
          <w:szCs w:val="24"/>
          <w:lang w:eastAsia="zh-CN"/>
        </w:rPr>
      </w:pPr>
    </w:p>
    <w:p>
      <w:pPr>
        <w:pStyle w:val="8"/>
        <w:numPr>
          <w:ilvl w:val="0"/>
          <w:numId w:val="0"/>
        </w:numPr>
        <w:ind w:leftChars="200"/>
        <w:rPr>
          <w:rFonts w:hint="eastAsia"/>
          <w:b w:val="0"/>
          <w:bCs/>
          <w:sz w:val="24"/>
          <w:szCs w:val="24"/>
          <w:lang w:val="en-US" w:eastAsia="zh-CN"/>
        </w:rPr>
      </w:pPr>
      <w:r>
        <w:rPr>
          <w:rFonts w:hint="eastAsia"/>
          <w:b w:val="0"/>
          <w:bCs/>
          <w:sz w:val="24"/>
          <w:szCs w:val="24"/>
          <w:lang w:val="en-US" w:eastAsia="zh-CN"/>
        </w:rPr>
        <w:t>3、数据提取并验证</w:t>
      </w:r>
    </w:p>
    <w:p>
      <w:pPr>
        <w:pStyle w:val="8"/>
        <w:numPr>
          <w:ilvl w:val="0"/>
          <w:numId w:val="0"/>
        </w:numPr>
        <w:ind w:leftChars="200"/>
        <w:rPr>
          <w:rFonts w:hint="default"/>
          <w:b w:val="0"/>
          <w:bCs/>
          <w:sz w:val="24"/>
          <w:szCs w:val="24"/>
          <w:lang w:val="en-US" w:eastAsia="zh-CN"/>
        </w:rPr>
      </w:pPr>
      <w:r>
        <w:rPr>
          <w:rFonts w:hint="eastAsia"/>
          <w:b w:val="0"/>
          <w:bCs/>
          <w:sz w:val="24"/>
          <w:szCs w:val="24"/>
          <w:lang w:val="en-US" w:eastAsia="zh-CN"/>
        </w:rPr>
        <w:t xml:space="preserve">   联系中国银联相关人员，提取对应服务商上送的交易数据，确认改造是否生效。</w:t>
      </w:r>
    </w:p>
    <w:p>
      <w:pPr>
        <w:pStyle w:val="8"/>
        <w:numPr>
          <w:ilvl w:val="0"/>
          <w:numId w:val="0"/>
        </w:numPr>
        <w:ind w:leftChars="0"/>
        <w:rPr>
          <w:rFonts w:hint="eastAsia" w:eastAsiaTheme="minorEastAsia"/>
          <w:b/>
          <w:sz w:val="24"/>
          <w:szCs w:val="24"/>
          <w:lang w:eastAsia="zh-CN"/>
        </w:rPr>
      </w:pPr>
    </w:p>
    <w:p>
      <w:pPr>
        <w:pStyle w:val="8"/>
        <w:numPr>
          <w:ilvl w:val="0"/>
          <w:numId w:val="0"/>
        </w:numPr>
        <w:ind w:leftChars="0"/>
        <w:rPr>
          <w:b/>
          <w:sz w:val="24"/>
          <w:szCs w:val="24"/>
        </w:rPr>
      </w:pPr>
    </w:p>
    <w:p>
      <w:pPr>
        <w:pStyle w:val="8"/>
        <w:numPr>
          <w:ilvl w:val="0"/>
          <w:numId w:val="1"/>
        </w:numPr>
        <w:ind w:firstLineChars="0"/>
        <w:rPr>
          <w:b/>
          <w:sz w:val="24"/>
          <w:szCs w:val="24"/>
        </w:rPr>
      </w:pPr>
      <w:r>
        <w:rPr>
          <w:rFonts w:hint="eastAsia"/>
          <w:b/>
          <w:sz w:val="24"/>
          <w:szCs w:val="24"/>
        </w:rPr>
        <w:t>接入模式</w:t>
      </w:r>
    </w:p>
    <w:p>
      <w:pPr>
        <w:rPr>
          <w:sz w:val="24"/>
          <w:szCs w:val="24"/>
        </w:rPr>
      </w:pPr>
    </w:p>
    <w:p>
      <w:pPr>
        <w:pStyle w:val="8"/>
        <w:numPr>
          <w:ilvl w:val="0"/>
          <w:numId w:val="0"/>
        </w:numPr>
        <w:ind w:leftChars="0" w:firstLine="482" w:firstLineChars="200"/>
        <w:rPr>
          <w:rFonts w:hint="eastAsia"/>
          <w:b/>
          <w:bCs w:val="0"/>
          <w:sz w:val="24"/>
          <w:szCs w:val="24"/>
          <w:lang w:val="en-US" w:eastAsia="zh-CN"/>
        </w:rPr>
      </w:pPr>
      <w:r>
        <w:rPr>
          <w:rFonts w:hint="eastAsia"/>
          <w:b/>
          <w:bCs w:val="0"/>
          <w:sz w:val="24"/>
          <w:szCs w:val="24"/>
          <w:lang w:val="en-US" w:eastAsia="zh-CN"/>
        </w:rPr>
        <w:t>目前服务商接入银联网络主要有四种模式：</w:t>
      </w:r>
    </w:p>
    <w:p>
      <w:pPr>
        <w:pStyle w:val="8"/>
        <w:numPr>
          <w:ilvl w:val="0"/>
          <w:numId w:val="0"/>
        </w:numPr>
        <w:ind w:leftChars="0" w:firstLine="480" w:firstLineChars="200"/>
        <w:rPr>
          <w:rFonts w:hint="eastAsia"/>
          <w:b w:val="0"/>
          <w:bCs/>
          <w:sz w:val="24"/>
          <w:szCs w:val="24"/>
          <w:lang w:val="en-US" w:eastAsia="zh-CN"/>
        </w:rPr>
      </w:pPr>
      <w:r>
        <w:rPr>
          <w:rFonts w:hint="eastAsia"/>
          <w:b w:val="0"/>
          <w:bCs/>
          <w:sz w:val="24"/>
          <w:szCs w:val="24"/>
          <w:lang w:val="en-US" w:eastAsia="zh-CN"/>
        </w:rPr>
        <w:t>模式一，主要针对接入全渠道平台的服务商，服务商以商户的名义发交易给全渠道平台，收单机构是以成员机构的身份入驻平台。</w:t>
      </w:r>
    </w:p>
    <w:p>
      <w:pPr>
        <w:pStyle w:val="8"/>
        <w:numPr>
          <w:ilvl w:val="0"/>
          <w:numId w:val="0"/>
        </w:numPr>
        <w:ind w:leftChars="0" w:firstLine="480" w:firstLineChars="200"/>
        <w:rPr>
          <w:rFonts w:hint="default"/>
          <w:b w:val="0"/>
          <w:bCs/>
          <w:sz w:val="24"/>
          <w:szCs w:val="24"/>
          <w:lang w:val="en-US" w:eastAsia="zh-CN"/>
        </w:rPr>
      </w:pPr>
      <w:r>
        <w:rPr>
          <w:rFonts w:hint="eastAsia"/>
          <w:b w:val="0"/>
          <w:bCs/>
          <w:sz w:val="24"/>
          <w:szCs w:val="24"/>
          <w:lang w:val="en-US" w:eastAsia="zh-CN"/>
        </w:rPr>
        <w:t>模式二，服务商将交易上送收单机构，由收单机构将交易上送银联网络。</w:t>
      </w:r>
    </w:p>
    <w:p>
      <w:pPr>
        <w:pStyle w:val="8"/>
        <w:numPr>
          <w:ilvl w:val="0"/>
          <w:numId w:val="0"/>
        </w:numPr>
        <w:ind w:leftChars="0" w:firstLine="480" w:firstLineChars="200"/>
        <w:rPr>
          <w:rFonts w:hint="default"/>
          <w:b w:val="0"/>
          <w:bCs/>
          <w:sz w:val="24"/>
          <w:szCs w:val="24"/>
          <w:lang w:val="en-US" w:eastAsia="zh-CN"/>
        </w:rPr>
      </w:pPr>
      <w:r>
        <w:rPr>
          <w:rFonts w:hint="eastAsia"/>
          <w:b w:val="0"/>
          <w:bCs/>
          <w:sz w:val="24"/>
          <w:szCs w:val="24"/>
          <w:lang w:val="en-US" w:eastAsia="zh-CN"/>
        </w:rPr>
        <w:t>模式三，主要针对直连银联条码前置平台的服务商，在条码前置平台中，收单机构是以成员机构的身份入驻的平台。</w:t>
      </w:r>
    </w:p>
    <w:p>
      <w:pPr>
        <w:pStyle w:val="8"/>
        <w:numPr>
          <w:ilvl w:val="0"/>
          <w:numId w:val="0"/>
        </w:numPr>
        <w:ind w:leftChars="0" w:firstLine="480" w:firstLineChars="200"/>
        <w:rPr>
          <w:rFonts w:hint="eastAsia"/>
          <w:b w:val="0"/>
          <w:bCs/>
          <w:sz w:val="24"/>
          <w:szCs w:val="24"/>
          <w:lang w:val="en-US" w:eastAsia="zh-CN"/>
        </w:rPr>
      </w:pPr>
      <w:r>
        <w:rPr>
          <w:rFonts w:hint="eastAsia"/>
          <w:b w:val="0"/>
          <w:bCs/>
          <w:sz w:val="24"/>
          <w:szCs w:val="24"/>
          <w:lang w:val="en-US" w:eastAsia="zh-CN"/>
        </w:rPr>
        <w:t>模式四，合作伙伴平台是中国为服务商提供的一站式签约入网、服务商机构标识码申请、收单机构撮合、交易转接等服务的合作平台。其中交易转接部分只针对存量业务。</w:t>
      </w:r>
    </w:p>
    <w:p>
      <w:pPr>
        <w:pStyle w:val="8"/>
        <w:numPr>
          <w:ilvl w:val="0"/>
          <w:numId w:val="0"/>
        </w:numPr>
        <w:ind w:leftChars="0" w:firstLine="480" w:firstLineChars="200"/>
        <w:rPr>
          <w:rFonts w:hint="eastAsia"/>
          <w:b w:val="0"/>
          <w:bCs/>
          <w:sz w:val="24"/>
          <w:szCs w:val="24"/>
          <w:lang w:val="en-US" w:eastAsia="zh-CN"/>
        </w:rPr>
      </w:pPr>
    </w:p>
    <w:p>
      <w:pPr>
        <w:pStyle w:val="8"/>
        <w:numPr>
          <w:ilvl w:val="0"/>
          <w:numId w:val="0"/>
        </w:numPr>
        <w:ind w:leftChars="0" w:firstLine="480" w:firstLineChars="200"/>
        <w:rPr>
          <w:rFonts w:hint="eastAsia"/>
          <w:b w:val="0"/>
          <w:bCs/>
          <w:sz w:val="24"/>
          <w:szCs w:val="24"/>
          <w:lang w:val="en-US" w:eastAsia="zh-CN"/>
        </w:rPr>
      </w:pPr>
    </w:p>
    <w:p>
      <w:pPr>
        <w:pStyle w:val="8"/>
        <w:numPr>
          <w:ilvl w:val="0"/>
          <w:numId w:val="0"/>
        </w:numPr>
        <w:ind w:leftChars="0" w:firstLine="420" w:firstLineChars="200"/>
        <w:rPr>
          <w:rFonts w:hint="eastAsia"/>
          <w:b w:val="0"/>
          <w:bCs/>
          <w:sz w:val="24"/>
          <w:szCs w:val="24"/>
          <w:lang w:val="en-US" w:eastAsia="zh-CN"/>
        </w:rPr>
      </w:pPr>
      <w:r>
        <w:drawing>
          <wp:inline distT="0" distB="0" distL="114300" distR="114300">
            <wp:extent cx="5852795" cy="4125595"/>
            <wp:effectExtent l="0" t="0" r="1460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5852795" cy="4125595"/>
                    </a:xfrm>
                    <a:prstGeom prst="rect">
                      <a:avLst/>
                    </a:prstGeom>
                    <a:noFill/>
                    <a:ln>
                      <a:noFill/>
                    </a:ln>
                  </pic:spPr>
                </pic:pic>
              </a:graphicData>
            </a:graphic>
          </wp:inline>
        </w:drawing>
      </w:r>
    </w:p>
    <w:p>
      <w:pPr>
        <w:spacing w:line="360" w:lineRule="auto"/>
        <w:contextualSpacing/>
        <w:rPr>
          <w:sz w:val="24"/>
          <w:szCs w:val="24"/>
        </w:rPr>
      </w:pPr>
    </w:p>
    <w:p>
      <w:pPr>
        <w:pStyle w:val="8"/>
        <w:numPr>
          <w:ilvl w:val="0"/>
          <w:numId w:val="1"/>
        </w:numPr>
        <w:spacing w:line="360" w:lineRule="auto"/>
        <w:ind w:firstLineChars="0"/>
        <w:contextualSpacing/>
        <w:rPr>
          <w:b/>
          <w:sz w:val="24"/>
          <w:szCs w:val="24"/>
        </w:rPr>
      </w:pPr>
      <w:r>
        <w:rPr>
          <w:rFonts w:hint="eastAsia"/>
          <w:b/>
          <w:sz w:val="24"/>
          <w:szCs w:val="24"/>
          <w:lang w:eastAsia="zh-CN"/>
        </w:rPr>
        <w:t>接口</w:t>
      </w:r>
      <w:r>
        <w:rPr>
          <w:rFonts w:hint="eastAsia"/>
          <w:b/>
          <w:sz w:val="24"/>
          <w:szCs w:val="24"/>
        </w:rPr>
        <w:t>改造方案</w:t>
      </w:r>
    </w:p>
    <w:p>
      <w:pPr>
        <w:pStyle w:val="8"/>
        <w:spacing w:line="360" w:lineRule="auto"/>
        <w:ind w:left="420" w:firstLine="0" w:firstLineChars="0"/>
        <w:contextualSpacing/>
        <w:rPr>
          <w:sz w:val="24"/>
          <w:szCs w:val="24"/>
        </w:rPr>
      </w:pPr>
      <w:r>
        <w:rPr>
          <w:rFonts w:hint="eastAsia"/>
          <w:sz w:val="24"/>
          <w:szCs w:val="24"/>
          <w:lang w:eastAsia="zh-CN"/>
        </w:rPr>
        <w:t>四种</w:t>
      </w:r>
      <w:r>
        <w:rPr>
          <w:rFonts w:hint="eastAsia"/>
          <w:sz w:val="24"/>
          <w:szCs w:val="24"/>
        </w:rPr>
        <w:t>模式</w:t>
      </w:r>
      <w:r>
        <w:rPr>
          <w:rFonts w:hint="eastAsia"/>
          <w:sz w:val="24"/>
          <w:szCs w:val="24"/>
          <w:lang w:eastAsia="zh-CN"/>
        </w:rPr>
        <w:t>对应改造规范</w:t>
      </w:r>
      <w:r>
        <w:rPr>
          <w:rFonts w:hint="eastAsia"/>
          <w:sz w:val="24"/>
          <w:szCs w:val="24"/>
        </w:rPr>
        <w:t>如下</w:t>
      </w:r>
      <w:r>
        <w:rPr>
          <w:rFonts w:hint="eastAsia"/>
          <w:sz w:val="24"/>
          <w:szCs w:val="24"/>
          <w:lang w:val="en-US" w:eastAsia="zh-CN"/>
        </w:rPr>
        <w:t>,</w:t>
      </w:r>
      <w:r>
        <w:rPr>
          <w:rFonts w:hint="eastAsia"/>
          <w:b/>
          <w:bCs/>
          <w:sz w:val="24"/>
          <w:szCs w:val="24"/>
          <w:lang w:val="en-US" w:eastAsia="zh-CN"/>
        </w:rPr>
        <w:t>可在规范中快速搜索“</w:t>
      </w:r>
      <w:r>
        <w:rPr>
          <w:rFonts w:hint="eastAsia"/>
          <w:b/>
          <w:bCs/>
          <w:sz w:val="24"/>
          <w:szCs w:val="24"/>
          <w:lang w:eastAsia="zh-CN"/>
        </w:rPr>
        <w:t>服务商机构代码</w:t>
      </w:r>
      <w:r>
        <w:rPr>
          <w:rFonts w:hint="eastAsia"/>
          <w:b/>
          <w:bCs/>
          <w:sz w:val="24"/>
          <w:szCs w:val="24"/>
          <w:lang w:val="en-US" w:eastAsia="zh-CN"/>
        </w:rPr>
        <w:t>”</w:t>
      </w:r>
      <w:r>
        <w:rPr>
          <w:rFonts w:hint="eastAsia"/>
          <w:sz w:val="24"/>
          <w:szCs w:val="24"/>
          <w:lang w:eastAsia="zh-CN"/>
        </w:rPr>
        <w:t>：</w:t>
      </w:r>
    </w:p>
    <w:p>
      <w:pPr>
        <w:spacing w:line="360" w:lineRule="auto"/>
        <w:ind w:firstLine="482" w:firstLineChars="200"/>
        <w:contextualSpacing/>
        <w:rPr>
          <w:rFonts w:hint="eastAsia" w:eastAsiaTheme="minorEastAsia"/>
          <w:i/>
          <w:sz w:val="24"/>
          <w:szCs w:val="24"/>
          <w:u w:val="single"/>
          <w:lang w:val="en-US" w:eastAsia="zh-CN"/>
        </w:rPr>
      </w:pPr>
      <w:r>
        <w:rPr>
          <w:rFonts w:hint="eastAsia"/>
          <w:b/>
          <w:sz w:val="24"/>
          <w:szCs w:val="24"/>
        </w:rPr>
        <w:t>模式一：</w:t>
      </w:r>
      <w:r>
        <w:rPr>
          <w:rFonts w:hint="eastAsia"/>
          <w:sz w:val="24"/>
          <w:szCs w:val="24"/>
        </w:rPr>
        <w:t>服务商根据全渠道的规范改造，具体见</w:t>
      </w:r>
      <w:r>
        <w:rPr>
          <w:rFonts w:hint="eastAsia"/>
          <w:sz w:val="24"/>
          <w:szCs w:val="24"/>
          <w:lang w:eastAsia="zh-CN"/>
        </w:rPr>
        <w:t>《</w:t>
      </w:r>
      <w:r>
        <w:rPr>
          <w:rFonts w:hint="eastAsia"/>
          <w:sz w:val="24"/>
          <w:szCs w:val="24"/>
        </w:rPr>
        <w:t>服务商机构标识码字段改造指引（</w:t>
      </w:r>
      <w:r>
        <w:rPr>
          <w:rFonts w:hint="eastAsia"/>
          <w:sz w:val="24"/>
          <w:szCs w:val="24"/>
          <w:lang w:eastAsia="zh-CN"/>
        </w:rPr>
        <w:t>商户版</w:t>
      </w:r>
      <w:r>
        <w:rPr>
          <w:rFonts w:hint="eastAsia"/>
          <w:sz w:val="24"/>
          <w:szCs w:val="24"/>
        </w:rPr>
        <w:t>）</w:t>
      </w:r>
      <w:r>
        <w:rPr>
          <w:rFonts w:hint="eastAsia"/>
          <w:sz w:val="24"/>
          <w:szCs w:val="24"/>
          <w:lang w:eastAsia="zh-CN"/>
        </w:rPr>
        <w:t>》</w:t>
      </w:r>
      <w:r>
        <w:rPr>
          <w:rFonts w:hint="eastAsia"/>
          <w:sz w:val="24"/>
          <w:szCs w:val="24"/>
          <w:lang w:val="en-US" w:eastAsia="zh-CN"/>
        </w:rPr>
        <w:t>。</w:t>
      </w:r>
    </w:p>
    <w:p>
      <w:pPr>
        <w:spacing w:line="360" w:lineRule="auto"/>
        <w:contextualSpacing/>
        <w:rPr>
          <w:i/>
          <w:sz w:val="24"/>
          <w:szCs w:val="24"/>
          <w:u w:val="single"/>
        </w:rPr>
      </w:pPr>
    </w:p>
    <w:p>
      <w:pPr>
        <w:spacing w:line="360" w:lineRule="auto"/>
        <w:ind w:firstLine="482" w:firstLineChars="200"/>
        <w:contextualSpacing/>
        <w:rPr>
          <w:rFonts w:hint="eastAsia"/>
          <w:b/>
          <w:sz w:val="24"/>
          <w:szCs w:val="24"/>
        </w:rPr>
      </w:pPr>
      <w:r>
        <w:rPr>
          <w:rFonts w:hint="eastAsia"/>
          <w:b/>
          <w:sz w:val="24"/>
          <w:szCs w:val="24"/>
        </w:rPr>
        <w:t>模式二：</w:t>
      </w:r>
    </w:p>
    <w:p>
      <w:pPr>
        <w:spacing w:line="360" w:lineRule="auto"/>
        <w:contextualSpacing/>
        <w:rPr>
          <w:rFonts w:hint="eastAsia" w:eastAsiaTheme="minorEastAsia"/>
          <w:i/>
          <w:sz w:val="24"/>
          <w:szCs w:val="24"/>
          <w:u w:val="single"/>
          <w:lang w:eastAsia="zh-CN"/>
        </w:rPr>
      </w:pPr>
      <w:r>
        <w:rPr>
          <w:rFonts w:hint="eastAsia"/>
          <w:sz w:val="24"/>
          <w:szCs w:val="24"/>
        </w:rPr>
        <w:t>1）收单机构根据二维码的规范改造，具体见</w:t>
      </w:r>
      <w:r>
        <w:rPr>
          <w:rFonts w:hint="eastAsia"/>
          <w:sz w:val="24"/>
          <w:szCs w:val="24"/>
          <w:lang w:eastAsia="zh-CN"/>
        </w:rPr>
        <w:t>《</w:t>
      </w:r>
      <w:r>
        <w:rPr>
          <w:rFonts w:hint="eastAsia"/>
          <w:sz w:val="24"/>
          <w:szCs w:val="24"/>
        </w:rPr>
        <w:t>服务商机构标识码字段改造指引（收单机构版）</w:t>
      </w:r>
      <w:r>
        <w:rPr>
          <w:rFonts w:hint="eastAsia"/>
          <w:sz w:val="24"/>
          <w:szCs w:val="24"/>
          <w:lang w:eastAsia="zh-CN"/>
        </w:rPr>
        <w:t>》</w:t>
      </w:r>
    </w:p>
    <w:p>
      <w:pPr>
        <w:pStyle w:val="8"/>
        <w:spacing w:line="360" w:lineRule="auto"/>
        <w:ind w:left="0" w:leftChars="0" w:firstLine="0" w:firstLineChars="0"/>
        <w:contextualSpacing/>
        <w:rPr>
          <w:sz w:val="24"/>
          <w:szCs w:val="24"/>
        </w:rPr>
      </w:pPr>
      <w:r>
        <w:rPr>
          <w:rFonts w:hint="eastAsia"/>
          <w:sz w:val="24"/>
          <w:szCs w:val="24"/>
        </w:rPr>
        <w:t>2）服务商与收单机构的改造规范，需要由收单机构来提供。</w:t>
      </w:r>
    </w:p>
    <w:p>
      <w:pPr>
        <w:spacing w:line="360" w:lineRule="auto"/>
        <w:contextualSpacing/>
        <w:rPr>
          <w:sz w:val="24"/>
          <w:szCs w:val="24"/>
        </w:rPr>
      </w:pPr>
    </w:p>
    <w:p>
      <w:pPr>
        <w:spacing w:line="360" w:lineRule="auto"/>
        <w:ind w:firstLine="482" w:firstLineChars="200"/>
        <w:contextualSpacing/>
        <w:rPr>
          <w:rFonts w:hint="eastAsia"/>
          <w:sz w:val="24"/>
          <w:szCs w:val="24"/>
          <w:lang w:eastAsia="zh-CN"/>
        </w:rPr>
      </w:pPr>
      <w:r>
        <w:rPr>
          <w:rFonts w:hint="eastAsia"/>
          <w:b/>
          <w:sz w:val="24"/>
          <w:szCs w:val="24"/>
        </w:rPr>
        <w:t>模式三：</w:t>
      </w:r>
      <w:r>
        <w:rPr>
          <w:rFonts w:hint="eastAsia"/>
          <w:sz w:val="24"/>
          <w:szCs w:val="24"/>
        </w:rPr>
        <w:t xml:space="preserve">服务商根据条码前置平台的规范改造，具体见 </w:t>
      </w:r>
      <w:r>
        <w:rPr>
          <w:rFonts w:hint="eastAsia"/>
          <w:sz w:val="24"/>
          <w:szCs w:val="24"/>
          <w:lang w:eastAsia="zh-CN"/>
        </w:rPr>
        <w:t>《</w:t>
      </w:r>
      <w:r>
        <w:rPr>
          <w:rFonts w:hint="eastAsia"/>
          <w:sz w:val="24"/>
          <w:szCs w:val="24"/>
        </w:rPr>
        <w:t>服务商机构标识码字段改造指引（</w:t>
      </w:r>
      <w:r>
        <w:rPr>
          <w:rFonts w:hint="eastAsia"/>
          <w:sz w:val="24"/>
          <w:szCs w:val="24"/>
          <w:lang w:eastAsia="zh-CN"/>
        </w:rPr>
        <w:t>服务商版</w:t>
      </w:r>
      <w:r>
        <w:rPr>
          <w:rFonts w:hint="eastAsia"/>
          <w:sz w:val="24"/>
          <w:szCs w:val="24"/>
        </w:rPr>
        <w:t>）</w:t>
      </w:r>
      <w:r>
        <w:rPr>
          <w:rFonts w:hint="eastAsia"/>
          <w:sz w:val="24"/>
          <w:szCs w:val="24"/>
          <w:lang w:eastAsia="zh-CN"/>
        </w:rPr>
        <w:t>》。</w:t>
      </w:r>
    </w:p>
    <w:p>
      <w:pPr>
        <w:spacing w:line="360" w:lineRule="auto"/>
        <w:contextualSpacing/>
        <w:rPr>
          <w:rFonts w:hint="eastAsia"/>
          <w:sz w:val="24"/>
          <w:szCs w:val="24"/>
          <w:lang w:eastAsia="zh-CN"/>
        </w:rPr>
      </w:pPr>
    </w:p>
    <w:p>
      <w:pPr>
        <w:spacing w:line="360" w:lineRule="auto"/>
        <w:ind w:firstLine="482" w:firstLineChars="200"/>
        <w:contextualSpacing/>
        <w:rPr>
          <w:rFonts w:hint="eastAsia" w:eastAsiaTheme="minorEastAsia"/>
          <w:b w:val="0"/>
          <w:bCs/>
          <w:sz w:val="24"/>
          <w:szCs w:val="24"/>
          <w:lang w:val="en-US" w:eastAsia="zh-CN"/>
        </w:rPr>
      </w:pPr>
      <w:r>
        <w:rPr>
          <w:rFonts w:hint="eastAsia"/>
          <w:b/>
          <w:sz w:val="24"/>
          <w:szCs w:val="24"/>
        </w:rPr>
        <w:t>模式四：</w:t>
      </w:r>
      <w:r>
        <w:rPr>
          <w:rFonts w:hint="eastAsia"/>
          <w:b w:val="0"/>
          <w:bCs/>
          <w:sz w:val="24"/>
          <w:szCs w:val="24"/>
          <w:lang w:eastAsia="zh-CN"/>
        </w:rPr>
        <w:t>合作伙伴平台现有的</w:t>
      </w:r>
      <w:r>
        <w:rPr>
          <w:rFonts w:hint="eastAsia"/>
          <w:b w:val="0"/>
          <w:bCs/>
          <w:sz w:val="24"/>
          <w:szCs w:val="24"/>
          <w:lang w:val="en-US" w:eastAsia="zh-CN"/>
        </w:rPr>
        <w:t>存量交易,涉及服务商和收单机构，PID改造的规范见</w:t>
      </w:r>
      <w:r>
        <w:rPr>
          <w:rFonts w:hint="eastAsia"/>
          <w:sz w:val="24"/>
          <w:szCs w:val="24"/>
          <w:lang w:eastAsia="zh-CN"/>
        </w:rPr>
        <w:t>《</w:t>
      </w:r>
      <w:r>
        <w:rPr>
          <w:rFonts w:hint="eastAsia"/>
          <w:sz w:val="24"/>
          <w:szCs w:val="24"/>
        </w:rPr>
        <w:t>服务商机构标识码字段改造指引（</w:t>
      </w:r>
      <w:r>
        <w:rPr>
          <w:rFonts w:hint="eastAsia"/>
          <w:sz w:val="24"/>
          <w:szCs w:val="24"/>
          <w:lang w:eastAsia="zh-CN"/>
        </w:rPr>
        <w:t>服务商版</w:t>
      </w:r>
      <w:r>
        <w:rPr>
          <w:rFonts w:hint="eastAsia"/>
          <w:sz w:val="24"/>
          <w:szCs w:val="24"/>
        </w:rPr>
        <w:t>）</w:t>
      </w:r>
      <w:r>
        <w:rPr>
          <w:rFonts w:hint="eastAsia"/>
          <w:sz w:val="24"/>
          <w:szCs w:val="24"/>
          <w:lang w:eastAsia="zh-CN"/>
        </w:rPr>
        <w:t>》</w:t>
      </w:r>
      <w:r>
        <w:rPr>
          <w:rFonts w:hint="default"/>
          <w:sz w:val="24"/>
          <w:szCs w:val="24"/>
          <w:lang w:val="en-US" w:eastAsia="zh-CN"/>
        </w:rPr>
        <w:t>\</w:t>
      </w:r>
      <w:r>
        <w:rPr>
          <w:rFonts w:hint="eastAsia"/>
          <w:sz w:val="24"/>
          <w:szCs w:val="24"/>
          <w:lang w:val="en-US" w:eastAsia="zh-CN"/>
        </w:rPr>
        <w:t>合作伙伴平台</w:t>
      </w:r>
      <w:r>
        <w:rPr>
          <w:rFonts w:hint="default"/>
          <w:sz w:val="24"/>
          <w:szCs w:val="24"/>
          <w:lang w:val="en-US" w:eastAsia="zh-CN"/>
        </w:rPr>
        <w:t>\</w:t>
      </w:r>
      <w:r>
        <w:rPr>
          <w:rFonts w:hint="eastAsia"/>
          <w:sz w:val="24"/>
          <w:szCs w:val="24"/>
          <w:lang w:val="en-US" w:eastAsia="zh-CN"/>
        </w:rPr>
        <w:t xml:space="preserve"> 以及</w:t>
      </w:r>
      <w:r>
        <w:rPr>
          <w:rFonts w:hint="eastAsia"/>
          <w:sz w:val="24"/>
          <w:szCs w:val="24"/>
          <w:lang w:eastAsia="zh-CN"/>
        </w:rPr>
        <w:t>《</w:t>
      </w:r>
      <w:r>
        <w:rPr>
          <w:rFonts w:hint="eastAsia"/>
          <w:sz w:val="24"/>
          <w:szCs w:val="24"/>
        </w:rPr>
        <w:t>服务商机构标识码字段改造指引（收单机构版）</w:t>
      </w:r>
      <w:r>
        <w:rPr>
          <w:rFonts w:hint="eastAsia"/>
          <w:sz w:val="24"/>
          <w:szCs w:val="24"/>
          <w:lang w:eastAsia="zh-CN"/>
        </w:rPr>
        <w:t>》</w:t>
      </w:r>
      <w:r>
        <w:rPr>
          <w:rFonts w:hint="default"/>
          <w:sz w:val="24"/>
          <w:szCs w:val="24"/>
          <w:lang w:val="en-US" w:eastAsia="zh-CN"/>
        </w:rPr>
        <w:t>\</w:t>
      </w:r>
      <w:r>
        <w:rPr>
          <w:rFonts w:hint="eastAsia"/>
          <w:sz w:val="24"/>
          <w:szCs w:val="24"/>
          <w:lang w:val="en-US" w:eastAsia="zh-CN"/>
        </w:rPr>
        <w:t>合作伙伴平台</w:t>
      </w:r>
      <w:r>
        <w:rPr>
          <w:rFonts w:hint="default"/>
          <w:sz w:val="24"/>
          <w:szCs w:val="24"/>
          <w:lang w:val="en-US" w:eastAsia="zh-CN"/>
        </w:rPr>
        <w:t>\</w:t>
      </w:r>
      <w:r>
        <w:rPr>
          <w:rFonts w:hint="eastAsia"/>
          <w:b w:val="0"/>
          <w:bCs/>
          <w:sz w:val="24"/>
          <w:szCs w:val="24"/>
          <w:lang w:val="en-US" w:eastAsia="zh-CN"/>
        </w:rPr>
        <w:t>，改造思路如下：</w:t>
      </w:r>
    </w:p>
    <w:p>
      <w:pPr>
        <w:spacing w:line="360" w:lineRule="auto"/>
        <w:contextualSpacing/>
        <w:rPr>
          <w:sz w:val="24"/>
          <w:szCs w:val="24"/>
        </w:rPr>
      </w:pPr>
      <w:r>
        <w:rPr>
          <w:sz w:val="24"/>
          <w:szCs w:val="24"/>
        </w:rPr>
        <w:t xml:space="preserve"> </w:t>
      </w:r>
      <w:r>
        <w:rPr>
          <w:rFonts w:hint="eastAsia"/>
          <w:sz w:val="24"/>
          <w:szCs w:val="24"/>
        </w:rPr>
        <w:t>1）收单机构：收单机构与二维码平台的交互需要增加服务商ID，按照二维码的规范改造；收单机构与合作伙伴平台的交互需要增加服务商ID，规范由合作伙伴平台提供；</w:t>
      </w:r>
    </w:p>
    <w:p>
      <w:pPr>
        <w:spacing w:line="360" w:lineRule="auto"/>
        <w:contextualSpacing/>
        <w:rPr>
          <w:sz w:val="24"/>
          <w:szCs w:val="24"/>
        </w:rPr>
      </w:pPr>
      <w:r>
        <w:rPr>
          <w:rFonts w:hint="eastAsia"/>
          <w:sz w:val="24"/>
          <w:szCs w:val="24"/>
        </w:rPr>
        <w:t>2）服务商：服务商与合作伙伴平台交互需要增加服务商ID，接口规范由合作伙伴平台提供；</w:t>
      </w:r>
    </w:p>
    <w:p>
      <w:pPr>
        <w:spacing w:line="360" w:lineRule="auto"/>
        <w:contextualSpacing/>
        <w:rPr>
          <w:rFonts w:hint="eastAsia"/>
          <w:sz w:val="24"/>
          <w:szCs w:val="24"/>
        </w:rPr>
      </w:pPr>
      <w:r>
        <w:rPr>
          <w:rFonts w:hint="eastAsia"/>
          <w:sz w:val="24"/>
          <w:szCs w:val="24"/>
        </w:rPr>
        <w:t>3）合作伙伴平台：合作伙伴平台相关需要增加服务商ID，并提供与服务商和收单机构交互的接口规范。</w:t>
      </w:r>
    </w:p>
    <w:p>
      <w:pPr>
        <w:spacing w:line="360" w:lineRule="auto"/>
        <w:ind w:firstLine="240" w:firstLineChars="100"/>
        <w:contextualSpacing/>
        <w:rPr>
          <w:rFonts w:hint="eastAsia"/>
          <w:sz w:val="24"/>
          <w:szCs w:val="24"/>
          <w:lang w:val="en-US" w:eastAsia="zh-CN"/>
        </w:rPr>
      </w:pPr>
      <w:r>
        <w:rPr>
          <w:rFonts w:hint="eastAsia"/>
          <w:sz w:val="24"/>
          <w:szCs w:val="24"/>
          <w:lang w:val="en-US" w:eastAsia="zh-CN"/>
        </w:rPr>
        <w:t xml:space="preserve">                                       中国银联受理市场部  </w:t>
      </w:r>
    </w:p>
    <w:p>
      <w:pPr>
        <w:spacing w:line="360" w:lineRule="auto"/>
        <w:ind w:firstLine="5040" w:firstLineChars="2100"/>
        <w:contextualSpacing/>
        <w:rPr>
          <w:rFonts w:hint="default"/>
          <w:sz w:val="24"/>
          <w:szCs w:val="24"/>
          <w:lang w:val="en-US" w:eastAsia="zh-CN"/>
        </w:rPr>
      </w:pPr>
      <w:r>
        <w:rPr>
          <w:rFonts w:hint="eastAsia"/>
          <w:sz w:val="24"/>
          <w:szCs w:val="24"/>
          <w:lang w:val="en-US" w:eastAsia="zh-CN"/>
        </w:rPr>
        <w:t>殷俊杰 021-20631771</w:t>
      </w:r>
    </w:p>
    <w:p>
      <w:pPr>
        <w:spacing w:line="360" w:lineRule="auto"/>
        <w:contextualSpacing/>
        <w:rPr>
          <w:rFonts w:hint="eastAsia"/>
          <w:sz w:val="24"/>
          <w:szCs w:val="24"/>
        </w:rPr>
      </w:pPr>
      <w:r>
        <w:rPr>
          <w:rFonts w:hint="eastAsia"/>
          <w:sz w:val="24"/>
          <w:szCs w:val="24"/>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F87089"/>
    <w:multiLevelType w:val="multilevel"/>
    <w:tmpl w:val="24F87089"/>
    <w:lvl w:ilvl="0" w:tentative="0">
      <w:start w:val="1"/>
      <w:numFmt w:val="japaneseCounting"/>
      <w:lvlText w:val="%1、"/>
      <w:lvlJc w:val="left"/>
      <w:pPr>
        <w:ind w:left="420" w:hanging="42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575A8DA"/>
    <w:multiLevelType w:val="singleLevel"/>
    <w:tmpl w:val="2575A8DA"/>
    <w:lvl w:ilvl="0" w:tentative="0">
      <w:start w:val="1"/>
      <w:numFmt w:val="decimal"/>
      <w:suff w:val="nothing"/>
      <w:lvlText w:val="%1、"/>
      <w:lvlJc w:val="left"/>
    </w:lvl>
  </w:abstractNum>
  <w:abstractNum w:abstractNumId="2">
    <w:nsid w:val="46C7836E"/>
    <w:multiLevelType w:val="singleLevel"/>
    <w:tmpl w:val="46C7836E"/>
    <w:lvl w:ilvl="0" w:tentative="0">
      <w:start w:val="1"/>
      <w:numFmt w:val="bullet"/>
      <w:lvlText w:val=""/>
      <w:lvlJc w:val="left"/>
      <w:pPr>
        <w:ind w:left="420" w:hanging="42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476"/>
    <w:rsid w:val="000048D9"/>
    <w:rsid w:val="00094057"/>
    <w:rsid w:val="00116774"/>
    <w:rsid w:val="001D4F3A"/>
    <w:rsid w:val="0029506E"/>
    <w:rsid w:val="002A1B8E"/>
    <w:rsid w:val="002D4EB7"/>
    <w:rsid w:val="00312B9C"/>
    <w:rsid w:val="00395D47"/>
    <w:rsid w:val="00421255"/>
    <w:rsid w:val="0043632A"/>
    <w:rsid w:val="004F2476"/>
    <w:rsid w:val="005F042A"/>
    <w:rsid w:val="006E10A4"/>
    <w:rsid w:val="007355E9"/>
    <w:rsid w:val="007C3813"/>
    <w:rsid w:val="00807C14"/>
    <w:rsid w:val="00861D7B"/>
    <w:rsid w:val="0089241D"/>
    <w:rsid w:val="008D5732"/>
    <w:rsid w:val="00B02E7E"/>
    <w:rsid w:val="00B27C5C"/>
    <w:rsid w:val="00B8087D"/>
    <w:rsid w:val="00BA2039"/>
    <w:rsid w:val="00C630E5"/>
    <w:rsid w:val="00CD6106"/>
    <w:rsid w:val="00DB2A13"/>
    <w:rsid w:val="00E16A5A"/>
    <w:rsid w:val="00E62B58"/>
    <w:rsid w:val="00F34638"/>
    <w:rsid w:val="00F91622"/>
    <w:rsid w:val="00FD1E9A"/>
    <w:rsid w:val="01201DD8"/>
    <w:rsid w:val="01977824"/>
    <w:rsid w:val="019E7F8E"/>
    <w:rsid w:val="01B13D0B"/>
    <w:rsid w:val="01BA6770"/>
    <w:rsid w:val="024A30FF"/>
    <w:rsid w:val="02AA1C02"/>
    <w:rsid w:val="03B00D73"/>
    <w:rsid w:val="040F0A4C"/>
    <w:rsid w:val="04993FF1"/>
    <w:rsid w:val="04A43FBA"/>
    <w:rsid w:val="04BE1023"/>
    <w:rsid w:val="04C80593"/>
    <w:rsid w:val="04FE4562"/>
    <w:rsid w:val="05C855CF"/>
    <w:rsid w:val="05CA36ED"/>
    <w:rsid w:val="06CF5095"/>
    <w:rsid w:val="06DF0A14"/>
    <w:rsid w:val="06EA6AD2"/>
    <w:rsid w:val="071A06BB"/>
    <w:rsid w:val="073660F8"/>
    <w:rsid w:val="07940253"/>
    <w:rsid w:val="07E65AF2"/>
    <w:rsid w:val="08137829"/>
    <w:rsid w:val="083371A1"/>
    <w:rsid w:val="0855726B"/>
    <w:rsid w:val="086245F5"/>
    <w:rsid w:val="0893127D"/>
    <w:rsid w:val="09CD1782"/>
    <w:rsid w:val="0A0B6B8D"/>
    <w:rsid w:val="0B8435A6"/>
    <w:rsid w:val="0B8D5633"/>
    <w:rsid w:val="0B986882"/>
    <w:rsid w:val="0BA00445"/>
    <w:rsid w:val="0C1345BC"/>
    <w:rsid w:val="0C2B39DA"/>
    <w:rsid w:val="0C2C728E"/>
    <w:rsid w:val="0C915F59"/>
    <w:rsid w:val="0C9377C6"/>
    <w:rsid w:val="0C9C66F8"/>
    <w:rsid w:val="0CA87FFD"/>
    <w:rsid w:val="0CC75325"/>
    <w:rsid w:val="0D424D3B"/>
    <w:rsid w:val="0D49455B"/>
    <w:rsid w:val="0E451BD2"/>
    <w:rsid w:val="0EAA4CC1"/>
    <w:rsid w:val="0F0E1595"/>
    <w:rsid w:val="0F422EF3"/>
    <w:rsid w:val="0F8A04E6"/>
    <w:rsid w:val="0F987A40"/>
    <w:rsid w:val="0FCD35AB"/>
    <w:rsid w:val="10441EB4"/>
    <w:rsid w:val="104D792F"/>
    <w:rsid w:val="108643E8"/>
    <w:rsid w:val="10F721BC"/>
    <w:rsid w:val="10F91923"/>
    <w:rsid w:val="112648D6"/>
    <w:rsid w:val="11300E3F"/>
    <w:rsid w:val="125C5663"/>
    <w:rsid w:val="13017F2C"/>
    <w:rsid w:val="13383845"/>
    <w:rsid w:val="133A3BF4"/>
    <w:rsid w:val="13421F9A"/>
    <w:rsid w:val="13935405"/>
    <w:rsid w:val="13B627A6"/>
    <w:rsid w:val="13E60EB3"/>
    <w:rsid w:val="13FB555D"/>
    <w:rsid w:val="143238B3"/>
    <w:rsid w:val="144C682E"/>
    <w:rsid w:val="14730523"/>
    <w:rsid w:val="14B021AF"/>
    <w:rsid w:val="15040AA2"/>
    <w:rsid w:val="15137BC3"/>
    <w:rsid w:val="15A140AC"/>
    <w:rsid w:val="16343A65"/>
    <w:rsid w:val="164B3172"/>
    <w:rsid w:val="1660192F"/>
    <w:rsid w:val="16751BD4"/>
    <w:rsid w:val="168F55E5"/>
    <w:rsid w:val="16FB75FE"/>
    <w:rsid w:val="170D4EC2"/>
    <w:rsid w:val="172E1583"/>
    <w:rsid w:val="17397C6C"/>
    <w:rsid w:val="1740455B"/>
    <w:rsid w:val="17824E4F"/>
    <w:rsid w:val="17A2714B"/>
    <w:rsid w:val="17E9424D"/>
    <w:rsid w:val="17F822A6"/>
    <w:rsid w:val="18311DDD"/>
    <w:rsid w:val="18A2462B"/>
    <w:rsid w:val="18A37A1D"/>
    <w:rsid w:val="18AE7049"/>
    <w:rsid w:val="18EB6502"/>
    <w:rsid w:val="18ED474C"/>
    <w:rsid w:val="193414BD"/>
    <w:rsid w:val="199166EC"/>
    <w:rsid w:val="19F645E2"/>
    <w:rsid w:val="1A3321F9"/>
    <w:rsid w:val="1A95602F"/>
    <w:rsid w:val="1AB56D2F"/>
    <w:rsid w:val="1ABE055D"/>
    <w:rsid w:val="1B1B041F"/>
    <w:rsid w:val="1BFB6095"/>
    <w:rsid w:val="1C0541FC"/>
    <w:rsid w:val="1C3A0704"/>
    <w:rsid w:val="1CA95478"/>
    <w:rsid w:val="1CC91C12"/>
    <w:rsid w:val="1EA214F6"/>
    <w:rsid w:val="1F377A9C"/>
    <w:rsid w:val="1F38039E"/>
    <w:rsid w:val="1FCB080D"/>
    <w:rsid w:val="1FE7375C"/>
    <w:rsid w:val="1FF53615"/>
    <w:rsid w:val="21357C3A"/>
    <w:rsid w:val="215973BC"/>
    <w:rsid w:val="21A957E6"/>
    <w:rsid w:val="224A0601"/>
    <w:rsid w:val="22541F50"/>
    <w:rsid w:val="231D4A0E"/>
    <w:rsid w:val="23407F5D"/>
    <w:rsid w:val="237A07EA"/>
    <w:rsid w:val="23C75CBD"/>
    <w:rsid w:val="243F1B7F"/>
    <w:rsid w:val="2455113F"/>
    <w:rsid w:val="24CF2DAD"/>
    <w:rsid w:val="24F969E3"/>
    <w:rsid w:val="250F38DC"/>
    <w:rsid w:val="25426408"/>
    <w:rsid w:val="25763EDA"/>
    <w:rsid w:val="25821AE1"/>
    <w:rsid w:val="25A0016D"/>
    <w:rsid w:val="25A755C3"/>
    <w:rsid w:val="262274AC"/>
    <w:rsid w:val="265916A2"/>
    <w:rsid w:val="26C819F2"/>
    <w:rsid w:val="26D55DEF"/>
    <w:rsid w:val="272240FF"/>
    <w:rsid w:val="275C331D"/>
    <w:rsid w:val="28D037D8"/>
    <w:rsid w:val="29064A8E"/>
    <w:rsid w:val="292D61DC"/>
    <w:rsid w:val="297D58EF"/>
    <w:rsid w:val="29FB6B5E"/>
    <w:rsid w:val="2A2530F9"/>
    <w:rsid w:val="2A2F7A84"/>
    <w:rsid w:val="2A9C2959"/>
    <w:rsid w:val="2AA53BDB"/>
    <w:rsid w:val="2B1B3C25"/>
    <w:rsid w:val="2B5333FF"/>
    <w:rsid w:val="2B6060CA"/>
    <w:rsid w:val="2C5A66C1"/>
    <w:rsid w:val="2CB46862"/>
    <w:rsid w:val="2CD270D5"/>
    <w:rsid w:val="2CDA571F"/>
    <w:rsid w:val="2D0A701B"/>
    <w:rsid w:val="2D285A20"/>
    <w:rsid w:val="2D7979A1"/>
    <w:rsid w:val="2DD12381"/>
    <w:rsid w:val="2DD6446F"/>
    <w:rsid w:val="2DE2546E"/>
    <w:rsid w:val="2DF71CA4"/>
    <w:rsid w:val="2DFE4770"/>
    <w:rsid w:val="2E65693A"/>
    <w:rsid w:val="2F052140"/>
    <w:rsid w:val="2F0652AA"/>
    <w:rsid w:val="2F0E6C42"/>
    <w:rsid w:val="2FA03975"/>
    <w:rsid w:val="2FD67C1C"/>
    <w:rsid w:val="2FE81D02"/>
    <w:rsid w:val="2FFC5BF8"/>
    <w:rsid w:val="30232315"/>
    <w:rsid w:val="305B52D7"/>
    <w:rsid w:val="3098461A"/>
    <w:rsid w:val="30E2096B"/>
    <w:rsid w:val="30EB495D"/>
    <w:rsid w:val="30F14EE9"/>
    <w:rsid w:val="30FA0449"/>
    <w:rsid w:val="310A6479"/>
    <w:rsid w:val="31AA44AB"/>
    <w:rsid w:val="31F64BF5"/>
    <w:rsid w:val="3211032E"/>
    <w:rsid w:val="32183702"/>
    <w:rsid w:val="321A427D"/>
    <w:rsid w:val="322D3ABF"/>
    <w:rsid w:val="324B35BB"/>
    <w:rsid w:val="326320F8"/>
    <w:rsid w:val="3286091A"/>
    <w:rsid w:val="32F606BD"/>
    <w:rsid w:val="3355631D"/>
    <w:rsid w:val="33F823D3"/>
    <w:rsid w:val="33FF4085"/>
    <w:rsid w:val="340C6AFF"/>
    <w:rsid w:val="344D6C01"/>
    <w:rsid w:val="34C9322B"/>
    <w:rsid w:val="351F10A4"/>
    <w:rsid w:val="35B926C3"/>
    <w:rsid w:val="35CC4F5D"/>
    <w:rsid w:val="36183278"/>
    <w:rsid w:val="365F5B57"/>
    <w:rsid w:val="36C947D3"/>
    <w:rsid w:val="36F07B0E"/>
    <w:rsid w:val="371C664C"/>
    <w:rsid w:val="37460602"/>
    <w:rsid w:val="37652A33"/>
    <w:rsid w:val="37AC0090"/>
    <w:rsid w:val="37BA28C4"/>
    <w:rsid w:val="384E77A7"/>
    <w:rsid w:val="38663742"/>
    <w:rsid w:val="389519E7"/>
    <w:rsid w:val="38980D03"/>
    <w:rsid w:val="38E7090A"/>
    <w:rsid w:val="393619A8"/>
    <w:rsid w:val="394915E5"/>
    <w:rsid w:val="39644B04"/>
    <w:rsid w:val="39767A9B"/>
    <w:rsid w:val="39897DEB"/>
    <w:rsid w:val="39B6133F"/>
    <w:rsid w:val="39D60E0E"/>
    <w:rsid w:val="39F13DDF"/>
    <w:rsid w:val="3A0C39B8"/>
    <w:rsid w:val="3A28539A"/>
    <w:rsid w:val="3A561DB8"/>
    <w:rsid w:val="3A761220"/>
    <w:rsid w:val="3AC8417A"/>
    <w:rsid w:val="3AFA6FF0"/>
    <w:rsid w:val="3B183575"/>
    <w:rsid w:val="3B2A257F"/>
    <w:rsid w:val="3B2A4CAC"/>
    <w:rsid w:val="3B5F754E"/>
    <w:rsid w:val="3B613D28"/>
    <w:rsid w:val="3B7A68C0"/>
    <w:rsid w:val="3B7C27E7"/>
    <w:rsid w:val="3BB37B6D"/>
    <w:rsid w:val="3BF27423"/>
    <w:rsid w:val="3C0B45D7"/>
    <w:rsid w:val="3C0B59FD"/>
    <w:rsid w:val="3C597411"/>
    <w:rsid w:val="3C803527"/>
    <w:rsid w:val="3CF275BF"/>
    <w:rsid w:val="3D291AAC"/>
    <w:rsid w:val="3D3B0838"/>
    <w:rsid w:val="3DE15B4A"/>
    <w:rsid w:val="3DF03F16"/>
    <w:rsid w:val="3E456FB7"/>
    <w:rsid w:val="3E8716E9"/>
    <w:rsid w:val="3E954036"/>
    <w:rsid w:val="3F5C6951"/>
    <w:rsid w:val="3F6A7B95"/>
    <w:rsid w:val="4037608F"/>
    <w:rsid w:val="40405952"/>
    <w:rsid w:val="407507AC"/>
    <w:rsid w:val="415A0C9B"/>
    <w:rsid w:val="41662156"/>
    <w:rsid w:val="418A5AC1"/>
    <w:rsid w:val="41B05824"/>
    <w:rsid w:val="429D40D6"/>
    <w:rsid w:val="42C467B4"/>
    <w:rsid w:val="42FA0A54"/>
    <w:rsid w:val="43447193"/>
    <w:rsid w:val="436702A6"/>
    <w:rsid w:val="43D90BC3"/>
    <w:rsid w:val="440C3EEA"/>
    <w:rsid w:val="44402128"/>
    <w:rsid w:val="446477BF"/>
    <w:rsid w:val="44B1752C"/>
    <w:rsid w:val="44D038C1"/>
    <w:rsid w:val="44F67149"/>
    <w:rsid w:val="452C2244"/>
    <w:rsid w:val="45364DD1"/>
    <w:rsid w:val="457E620C"/>
    <w:rsid w:val="45952B3E"/>
    <w:rsid w:val="45D62D7D"/>
    <w:rsid w:val="45DE56CA"/>
    <w:rsid w:val="46340E49"/>
    <w:rsid w:val="467F17B4"/>
    <w:rsid w:val="469126F9"/>
    <w:rsid w:val="46A4296E"/>
    <w:rsid w:val="46BA6F3C"/>
    <w:rsid w:val="46BF76EA"/>
    <w:rsid w:val="46D61F20"/>
    <w:rsid w:val="46E40CE3"/>
    <w:rsid w:val="47035151"/>
    <w:rsid w:val="473E1E60"/>
    <w:rsid w:val="47887C5F"/>
    <w:rsid w:val="47945A35"/>
    <w:rsid w:val="479710B7"/>
    <w:rsid w:val="48D3167F"/>
    <w:rsid w:val="48E81714"/>
    <w:rsid w:val="4918608E"/>
    <w:rsid w:val="49453DED"/>
    <w:rsid w:val="49733829"/>
    <w:rsid w:val="4A134E8E"/>
    <w:rsid w:val="4AE43905"/>
    <w:rsid w:val="4AF36CCD"/>
    <w:rsid w:val="4B26299B"/>
    <w:rsid w:val="4B555379"/>
    <w:rsid w:val="4BB65281"/>
    <w:rsid w:val="4BF9494A"/>
    <w:rsid w:val="4C2E61F3"/>
    <w:rsid w:val="4CD44F17"/>
    <w:rsid w:val="4D3D7204"/>
    <w:rsid w:val="4DAB4342"/>
    <w:rsid w:val="4DE46F0C"/>
    <w:rsid w:val="4E685C0A"/>
    <w:rsid w:val="4FEE1E86"/>
    <w:rsid w:val="50883D62"/>
    <w:rsid w:val="50CA4D7E"/>
    <w:rsid w:val="50D31020"/>
    <w:rsid w:val="51335AED"/>
    <w:rsid w:val="51483232"/>
    <w:rsid w:val="51BF2259"/>
    <w:rsid w:val="51E45C03"/>
    <w:rsid w:val="51EF650A"/>
    <w:rsid w:val="52326A4C"/>
    <w:rsid w:val="52D60EEA"/>
    <w:rsid w:val="53821EED"/>
    <w:rsid w:val="53BC05E8"/>
    <w:rsid w:val="53E81807"/>
    <w:rsid w:val="53F43850"/>
    <w:rsid w:val="546C469A"/>
    <w:rsid w:val="548D7B77"/>
    <w:rsid w:val="54B840C6"/>
    <w:rsid w:val="54B95DF2"/>
    <w:rsid w:val="551347EE"/>
    <w:rsid w:val="551968C8"/>
    <w:rsid w:val="55602B8E"/>
    <w:rsid w:val="558B61FA"/>
    <w:rsid w:val="56C6753F"/>
    <w:rsid w:val="57086C48"/>
    <w:rsid w:val="571F3F2B"/>
    <w:rsid w:val="5766412B"/>
    <w:rsid w:val="576D33B9"/>
    <w:rsid w:val="57B22E41"/>
    <w:rsid w:val="57F21B84"/>
    <w:rsid w:val="581036D9"/>
    <w:rsid w:val="588F7267"/>
    <w:rsid w:val="58B24175"/>
    <w:rsid w:val="58BA238B"/>
    <w:rsid w:val="58D3677C"/>
    <w:rsid w:val="598D52C4"/>
    <w:rsid w:val="59A7240D"/>
    <w:rsid w:val="5A2D3BFB"/>
    <w:rsid w:val="5A4161AE"/>
    <w:rsid w:val="5AA05FD0"/>
    <w:rsid w:val="5AD538D9"/>
    <w:rsid w:val="5AEC54F4"/>
    <w:rsid w:val="5AFA4D1F"/>
    <w:rsid w:val="5B1775E5"/>
    <w:rsid w:val="5B1A2BB8"/>
    <w:rsid w:val="5B556C1F"/>
    <w:rsid w:val="5B656B60"/>
    <w:rsid w:val="5B6F159C"/>
    <w:rsid w:val="5B87227F"/>
    <w:rsid w:val="5B981793"/>
    <w:rsid w:val="5BC10A6F"/>
    <w:rsid w:val="5C6E113C"/>
    <w:rsid w:val="5CB51E4A"/>
    <w:rsid w:val="5CCB61D7"/>
    <w:rsid w:val="5D7003B4"/>
    <w:rsid w:val="5E597194"/>
    <w:rsid w:val="5E6245D2"/>
    <w:rsid w:val="5E7610E0"/>
    <w:rsid w:val="5E8051F5"/>
    <w:rsid w:val="5EA24B7D"/>
    <w:rsid w:val="5EE755A4"/>
    <w:rsid w:val="5F8A76C4"/>
    <w:rsid w:val="60315204"/>
    <w:rsid w:val="60CC63CC"/>
    <w:rsid w:val="610237B0"/>
    <w:rsid w:val="610B201F"/>
    <w:rsid w:val="61440699"/>
    <w:rsid w:val="615B718B"/>
    <w:rsid w:val="6187284A"/>
    <w:rsid w:val="61B61E5E"/>
    <w:rsid w:val="61DA765C"/>
    <w:rsid w:val="62247043"/>
    <w:rsid w:val="62C25B9C"/>
    <w:rsid w:val="633E608D"/>
    <w:rsid w:val="63546DB7"/>
    <w:rsid w:val="63557D41"/>
    <w:rsid w:val="63657D23"/>
    <w:rsid w:val="63805D80"/>
    <w:rsid w:val="63AD1732"/>
    <w:rsid w:val="63C90317"/>
    <w:rsid w:val="643C3117"/>
    <w:rsid w:val="649121B9"/>
    <w:rsid w:val="64E71E0A"/>
    <w:rsid w:val="65421CEE"/>
    <w:rsid w:val="65693927"/>
    <w:rsid w:val="659D18B3"/>
    <w:rsid w:val="65BA497E"/>
    <w:rsid w:val="65FF284E"/>
    <w:rsid w:val="660D7FC0"/>
    <w:rsid w:val="66440900"/>
    <w:rsid w:val="667422E7"/>
    <w:rsid w:val="66C226C6"/>
    <w:rsid w:val="66D11C82"/>
    <w:rsid w:val="673555FC"/>
    <w:rsid w:val="673D4A6E"/>
    <w:rsid w:val="675577EA"/>
    <w:rsid w:val="67C73AAC"/>
    <w:rsid w:val="682150EA"/>
    <w:rsid w:val="68300AA8"/>
    <w:rsid w:val="683E7C9F"/>
    <w:rsid w:val="6883514A"/>
    <w:rsid w:val="68DF5727"/>
    <w:rsid w:val="69B43C4F"/>
    <w:rsid w:val="69EA6B61"/>
    <w:rsid w:val="69F66F44"/>
    <w:rsid w:val="6A300C57"/>
    <w:rsid w:val="6A964F0B"/>
    <w:rsid w:val="6B2044E4"/>
    <w:rsid w:val="6B515083"/>
    <w:rsid w:val="6B6F7D00"/>
    <w:rsid w:val="6BB36039"/>
    <w:rsid w:val="6BD319D7"/>
    <w:rsid w:val="6BE646CE"/>
    <w:rsid w:val="6C0242CC"/>
    <w:rsid w:val="6C840178"/>
    <w:rsid w:val="6D147483"/>
    <w:rsid w:val="6D486AE8"/>
    <w:rsid w:val="6DEB7C6C"/>
    <w:rsid w:val="6DF6155D"/>
    <w:rsid w:val="6EE430CD"/>
    <w:rsid w:val="6F341C8D"/>
    <w:rsid w:val="6F7B0D2A"/>
    <w:rsid w:val="6FDB609E"/>
    <w:rsid w:val="6FE07481"/>
    <w:rsid w:val="70CB593A"/>
    <w:rsid w:val="71081B62"/>
    <w:rsid w:val="71391861"/>
    <w:rsid w:val="71A9058C"/>
    <w:rsid w:val="71B95318"/>
    <w:rsid w:val="730C06B1"/>
    <w:rsid w:val="732F003A"/>
    <w:rsid w:val="73494C06"/>
    <w:rsid w:val="73CB19CD"/>
    <w:rsid w:val="73CC2FD0"/>
    <w:rsid w:val="73EE1D1F"/>
    <w:rsid w:val="742E2FC3"/>
    <w:rsid w:val="7449405E"/>
    <w:rsid w:val="74704260"/>
    <w:rsid w:val="74905A06"/>
    <w:rsid w:val="74B339CD"/>
    <w:rsid w:val="75371CDB"/>
    <w:rsid w:val="758C235D"/>
    <w:rsid w:val="7595525D"/>
    <w:rsid w:val="75DC3834"/>
    <w:rsid w:val="7628600B"/>
    <w:rsid w:val="76502BE1"/>
    <w:rsid w:val="76F26C16"/>
    <w:rsid w:val="77AC41A8"/>
    <w:rsid w:val="77FD3EC7"/>
    <w:rsid w:val="78833F91"/>
    <w:rsid w:val="788D4693"/>
    <w:rsid w:val="79284F4F"/>
    <w:rsid w:val="794A40CB"/>
    <w:rsid w:val="79B92E17"/>
    <w:rsid w:val="79CD5A46"/>
    <w:rsid w:val="7A407E29"/>
    <w:rsid w:val="7B004945"/>
    <w:rsid w:val="7B801589"/>
    <w:rsid w:val="7B8F730C"/>
    <w:rsid w:val="7BD816B9"/>
    <w:rsid w:val="7C1A3BD4"/>
    <w:rsid w:val="7C5A10C8"/>
    <w:rsid w:val="7C5E5362"/>
    <w:rsid w:val="7C665312"/>
    <w:rsid w:val="7C8A02B0"/>
    <w:rsid w:val="7C9A5F02"/>
    <w:rsid w:val="7CF57A66"/>
    <w:rsid w:val="7D1A1FBB"/>
    <w:rsid w:val="7D935922"/>
    <w:rsid w:val="7DE01D7D"/>
    <w:rsid w:val="7E584498"/>
    <w:rsid w:val="7E604141"/>
    <w:rsid w:val="7E841BB1"/>
    <w:rsid w:val="7EE45A97"/>
    <w:rsid w:val="7F2C2EA1"/>
    <w:rsid w:val="7F3F66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991</Words>
  <Characters>1069</Characters>
  <Lines>3</Lines>
  <Paragraphs>1</Paragraphs>
  <TotalTime>19</TotalTime>
  <ScaleCrop>false</ScaleCrop>
  <LinksUpToDate>false</LinksUpToDate>
  <CharactersWithSpaces>1166</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2021-05-08T01:03:00Z</dcterms:created>
  <dc:creator>张小琴</dc:creator>
  <cp:lastModifiedBy>yinjunjie1</cp:lastModifiedBy>
  <dcterms:modified xsi:type="dcterms:W3CDTF">2022-02-11T08:11:17Z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